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Weinstein Joshua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CAPITAL SOUTHWEST CORPORATION 8333 DOUGLAS AVE, SUITE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CAPITAL SOUTHWEST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CSWC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Senior Managing Director &amp; CIO</w:t>
      </w:r>
    </w:p>
    <w:p>
      <w:pPr>
        <w:spacing w:after="0" w:line="460" w:lineRule="exact"/>
        <w:rPr>
          <w:sz w:val="24"/>
          <w:szCs w:val="24"/>
          <w:color w:val="auto"/>
        </w:rPr>
      </w:pPr>
    </w:p>
    <w:p>
      <w:pPr>
        <w:sectPr>
          <w:pgSz w:w="11900" w:h="16838" w:orient="portrait"/>
          <w:cols w:equalWidth="0" w:num="3">
            <w:col w:w="3520" w:space="400"/>
            <w:col w:w="3620" w:space="19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center"/>
              <w:ind w:left="58"/>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10"/>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75225</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97"/>
                <w:vertAlign w:val="subscript"/>
              </w:rPr>
              <w:t>F</w:t>
            </w:r>
            <w:r>
              <w:rPr>
                <w:rFonts w:ascii="Times New Roman" w:cs="Times New Roman" w:eastAsia="Times New Roman" w:hAnsi="Times New Roman"/>
                <w:sz w:val="11"/>
                <w:szCs w:val="11"/>
                <w:color w:val="008000"/>
                <w:w w:val="97"/>
              </w:rPr>
              <w:t>(1)</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11,349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290,173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(2)</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100,000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390,173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97"/>
                <w:vertAlign w:val="subscript"/>
              </w:rPr>
              <w:t>F</w:t>
            </w:r>
            <w:r>
              <w:rPr>
                <w:rFonts w:ascii="Times New Roman" w:cs="Times New Roman" w:eastAsia="Times New Roman" w:hAnsi="Times New Roman"/>
                <w:sz w:val="11"/>
                <w:szCs w:val="11"/>
                <w:color w:val="008000"/>
                <w:w w:val="97"/>
              </w:rPr>
              <w:t>(1)</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9,588</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23.54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380,585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for payment of tax liability upon vesting of restricted shares granted under the Capital Southwest Corporation 2021 Employee Restricted Stock Award Plan. This withholding transaction was approved by the Compensation Committee of Capital Southwest's Board of Directors in accordance with Rule 16b-3(d)(1) of the Securities Exchange Act of 1934 (the "Act"), and as such, the sale is exempt from section 16(b) of the Act pursuant to Rule 16b-3(e) promulgated thereunder.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under the Capital Southwest Corporation 2021 Employee Restricted Stock Award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Joshua S. Weinstein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1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8765" TargetMode="External"/><Relationship Id="rId14" Type="http://schemas.openxmlformats.org/officeDocument/2006/relationships/hyperlink" Target="http://www.sec.gov/cgi-bin/browse-edgar?action=getcompany&amp;CIK=0000017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2026-06-10T17:35:12Z</dcterms:created>
  <dcterms:modified xsi:type="dcterms:W3CDTF">2026-06-10T17:35:12Z</dcterms:modified>
</cp:coreProperties>
</file>