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5033.xml.htm"/>
      <w:bookmarkStart w:id="1" w:name="kswkform4_17865650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 William R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CAPITAL SOUTHWEST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8333 DOUGLAS AVE,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CAPITAL SOUTHWEST CORP</w:t>
              </w:r>
            </w:hyperlink>
            <w:r>
              <w:rPr/>
              <w:t xml:space="preserve"> [ </w:t>
            </w:r>
            <w:r>
              <w:rPr>
                <w:rFonts w:ascii="Times;serif" w:hAnsi="Times;serif"/>
                <w:color w:val="0000FF"/>
                <w:sz w:val="24"/>
                <w:shd w:fill="FFFFFF" w:val="clear"/>
              </w:rPr>
              <w:t>CSWC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5"/>
        <w:gridCol w:w="902"/>
        <w:gridCol w:w="771"/>
        <w:gridCol w:w="599"/>
        <w:gridCol w:w="349"/>
        <w:gridCol w:w="850"/>
        <w:gridCol w:w="458"/>
        <w:gridCol w:w="620"/>
        <w:gridCol w:w="1168"/>
        <w:gridCol w:w="1001"/>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1,989</w:t>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20,672</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reporting person's son</w:t>
            </w:r>
          </w:p>
        </w:tc>
      </w:tr>
      <w:tr>
        <w:trPr/>
        <w:tc>
          <w:tcPr>
            <w:tcW w:w="24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571,939</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issued under the Capital Southwest 2021 Non-Employee Director Restricted Stock Award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Thomas is President and sole manager of Thomas Heritage Company, L.L.C., the sole general partner of Thomas Heritage Partners, Ltd. (the "Partnership"). In such capacity, Mr. Thomas has sole voting and dispositive power with respect to 571,939 shares owned by the Partnership. Although Mr. Thomas's pecuniary interest in the shares of common stock held by the Partnership is limited to his limited partnership interest in the Partnership and his membership interest in the general partner of the Partnership, in accordance with Rule 13d-3(d)(1)(i) of the Securities Exchange Act of 1934, as amended, Mr. Thomas is deemed to be the beneficial owner of all of such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R. Thomas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9011" TargetMode="External"/><Relationship Id="rId5" Type="http://schemas.openxmlformats.org/officeDocument/2006/relationships/hyperlink" Target="http://www.sec.gov/cgi-bin/browse-edgar?action=getcompany&amp;CIK=0000017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3829</Characters>
  <CharactersWithSpaces>4460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