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WASHINGTON, D.C. 20549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 14(a) of the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 (Amendment No.      )</w:t>
      </w:r>
    </w:p>
    <w:tbl>
      <w:tblPr>
        <w:tblW w:w="99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"/>
        <w:gridCol w:w="250"/>
        <w:gridCol w:w="250"/>
        <w:gridCol w:w="250"/>
        <w:gridCol w:w="250"/>
        <w:gridCol w:w="250"/>
        <w:gridCol w:w="893"/>
        <w:gridCol w:w="893"/>
        <w:gridCol w:w="893"/>
        <w:gridCol w:w="893"/>
        <w:gridCol w:w="893"/>
        <w:gridCol w:w="893"/>
        <w:gridCol w:w="893"/>
        <w:gridCol w:w="893"/>
        <w:gridCol w:w="1267"/>
      </w:tblGrid>
      <w:tr>
        <w:trPr/>
        <w:tc>
          <w:tcPr>
            <w:tcW w:w="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 14a</w:t>
              <w:noBreakHyphen/>
              <w:t>6(e)(2))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Rule 14a</w:t>
              <w:noBreakHyphen/>
              <w:t>11(c) or Rule 14a</w:t>
              <w:noBreakHyphen/>
              <w:t>12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CAPITAL SOUTHWEST CORPORATION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Person(s) Filing Proxy Statement, if Other Than the Registrant)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Payment of Filing Fee (Check the appropriate box):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righ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51530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righ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64484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</w: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righ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2571750"/>
            <wp:effectExtent l="0" t="0" r="0" b="0"/>
            <wp:docPr id="6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</w: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righ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4552950"/>
            <wp:effectExtent l="0" t="0" r="0" b="0"/>
            <wp:docPr id="8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</w: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righ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4124325"/>
            <wp:effectExtent l="0" t="0" r="0" b="0"/>
            <wp:docPr id="10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1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righ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righ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139</Words>
  <Characters>756</Characters>
  <CharactersWithSpaces>921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